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i w:val="1"/>
          <w:sz w:val="28"/>
          <w:szCs w:val="28"/>
        </w:rPr>
      </w:pPr>
      <w:r w:rsidDel="00000000" w:rsidR="00000000" w:rsidRPr="00000000">
        <w:rPr>
          <w:b w:val="1"/>
          <w:sz w:val="28"/>
          <w:szCs w:val="28"/>
          <w:rtl w:val="0"/>
        </w:rPr>
        <w:t xml:space="preserve">Chamada - Dossiê temático da</w:t>
      </w:r>
      <w:r w:rsidDel="00000000" w:rsidR="00000000" w:rsidRPr="00000000">
        <w:rPr>
          <w:b w:val="1"/>
          <w:i w:val="1"/>
          <w:sz w:val="28"/>
          <w:szCs w:val="28"/>
          <w:rtl w:val="0"/>
        </w:rPr>
        <w:t xml:space="preserve"> Cadernos de Tradução</w:t>
      </w:r>
    </w:p>
    <w:p w:rsidR="00000000" w:rsidDel="00000000" w:rsidP="00000000" w:rsidRDefault="00000000" w:rsidRPr="00000000" w14:paraId="00000002">
      <w:pPr>
        <w:rPr>
          <w:b w:val="1"/>
          <w:color w:val="ff0000"/>
          <w:sz w:val="28"/>
          <w:szCs w:val="28"/>
        </w:rPr>
      </w:pPr>
      <w:r w:rsidDel="00000000" w:rsidR="00000000" w:rsidRPr="00000000">
        <w:rPr>
          <w:b w:val="1"/>
          <w:color w:val="ff0000"/>
          <w:sz w:val="28"/>
          <w:szCs w:val="28"/>
          <w:rtl w:val="0"/>
        </w:rPr>
        <w:t xml:space="preserve">PRORROGAÇÃO DE PRAZO PARA ENVIO DE ARTIGO ATÉ 25 DE SETEMBRO DE 2022</w:t>
      </w:r>
    </w:p>
    <w:p w:rsidR="00000000" w:rsidDel="00000000" w:rsidP="00000000" w:rsidRDefault="00000000" w:rsidRPr="00000000" w14:paraId="00000003">
      <w:pPr>
        <w:rPr>
          <w:b w:val="1"/>
          <w:sz w:val="28"/>
          <w:szCs w:val="28"/>
          <w:u w:val="single"/>
        </w:rPr>
      </w:pPr>
      <w:r w:rsidDel="00000000" w:rsidR="00000000" w:rsidRPr="00000000">
        <w:rPr>
          <w:b w:val="1"/>
          <w:sz w:val="28"/>
          <w:szCs w:val="28"/>
          <w:u w:val="single"/>
          <w:rtl w:val="0"/>
        </w:rPr>
        <w:t xml:space="preserve">Tradutores teatrais como agentes criativos, políticos e artísticos</w:t>
      </w:r>
    </w:p>
    <w:p w:rsidR="00000000" w:rsidDel="00000000" w:rsidP="00000000" w:rsidRDefault="00000000" w:rsidRPr="00000000" w14:paraId="00000004">
      <w:pPr>
        <w:rPr>
          <w:b w:val="1"/>
        </w:rPr>
      </w:pPr>
      <w:r w:rsidDel="00000000" w:rsidR="00000000" w:rsidRPr="00000000">
        <w:rPr>
          <w:b w:val="1"/>
          <w:rtl w:val="0"/>
        </w:rPr>
        <w:t xml:space="preserve">Palavras-chave: tradutor/a teatral, subjectividade, agência, condições materiais</w:t>
      </w:r>
    </w:p>
    <w:p w:rsidR="00000000" w:rsidDel="00000000" w:rsidP="00000000" w:rsidRDefault="00000000" w:rsidRPr="00000000" w14:paraId="00000005">
      <w:pPr>
        <w:rPr>
          <w:b w:val="1"/>
        </w:rPr>
      </w:pPr>
      <w:r w:rsidDel="00000000" w:rsidR="00000000" w:rsidRPr="00000000">
        <w:rPr>
          <w:b w:val="1"/>
          <w:rtl w:val="0"/>
        </w:rPr>
        <w:t xml:space="preserve">Editoras do dossiê temático:</w:t>
        <w:br w:type="textWrapping"/>
        <w:t xml:space="preserve">Dra Alinne Balduino P. Fernandes, UFSC, Brasil</w:t>
        <w:br w:type="textWrapping"/>
        <w:t xml:space="preserve">Dra Ruth Bohunovsky, UFPR, Brasil</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40" w:lineRule="auto"/>
        <w:rPr>
          <w:highlight w:val="white"/>
        </w:rPr>
      </w:pPr>
      <w:r w:rsidDel="00000000" w:rsidR="00000000" w:rsidRPr="00000000">
        <w:rPr>
          <w:rtl w:val="0"/>
        </w:rPr>
        <w:br w:type="textWrapping"/>
      </w:r>
      <w:r w:rsidDel="00000000" w:rsidR="00000000" w:rsidRPr="00000000">
        <w:rPr>
          <w:highlight w:val="white"/>
          <w:rtl w:val="0"/>
        </w:rPr>
        <w:t xml:space="preserve">Traduzir nunca é uma atividade neutra. Como destacou Rosemary Arrojo em sua </w:t>
      </w:r>
      <w:r w:rsidDel="00000000" w:rsidR="00000000" w:rsidRPr="00000000">
        <w:rPr>
          <w:i w:val="1"/>
          <w:highlight w:val="white"/>
          <w:rtl w:val="0"/>
        </w:rPr>
        <w:t xml:space="preserve">Oficina de Tradução</w:t>
      </w:r>
      <w:r w:rsidDel="00000000" w:rsidR="00000000" w:rsidRPr="00000000">
        <w:rPr>
          <w:highlight w:val="white"/>
          <w:rtl w:val="0"/>
        </w:rPr>
        <w:t xml:space="preserve"> (</w:t>
      </w:r>
      <w:r w:rsidDel="00000000" w:rsidR="00000000" w:rsidRPr="00000000">
        <w:rPr>
          <w:rtl w:val="0"/>
        </w:rPr>
        <w:t xml:space="preserve">1986, p. 44</w:t>
      </w:r>
      <w:r w:rsidDel="00000000" w:rsidR="00000000" w:rsidRPr="00000000">
        <w:rPr>
          <w:highlight w:val="white"/>
          <w:rtl w:val="0"/>
        </w:rPr>
        <w:t xml:space="preserve">), a “tradução de qualquer texto, poético ou não, será fiel não ao texto ‘original’, mas àquilo que acreditamos </w:t>
      </w:r>
      <w:r w:rsidDel="00000000" w:rsidR="00000000" w:rsidRPr="00000000">
        <w:rPr>
          <w:i w:val="1"/>
          <w:highlight w:val="white"/>
          <w:rtl w:val="0"/>
        </w:rPr>
        <w:t xml:space="preserve">ser</w:t>
      </w:r>
      <w:r w:rsidDel="00000000" w:rsidR="00000000" w:rsidRPr="00000000">
        <w:rPr>
          <w:highlight w:val="white"/>
          <w:rtl w:val="0"/>
        </w:rPr>
        <w:t xml:space="preserve"> o texto original, àquilo que acreditamos constituí-lo, ou seja, à nossa interpretação do texto de partida, que será [...] sempre produto daquilo que somos, sentimos e pensamos”. Em outras palavras, será “fiel” à leitura da pessoa que traduz, a qual, por sua vez, está sempre inserida e marcada pelo seu contexto. Os estudos feministas, queer e pós-coloniais foram algumas das vertentes que colocaram em prática de modo mais visível essa premissa. Nesse sentido, Mark Fortier, estudioso e crítico do teatro, também escreve em </w:t>
      </w:r>
      <w:r w:rsidDel="00000000" w:rsidR="00000000" w:rsidRPr="00000000">
        <w:rPr>
          <w:i w:val="1"/>
          <w:highlight w:val="white"/>
          <w:rtl w:val="0"/>
        </w:rPr>
        <w:t xml:space="preserve">Theory/Theatre</w:t>
      </w:r>
      <w:r w:rsidDel="00000000" w:rsidR="00000000" w:rsidRPr="00000000">
        <w:rPr>
          <w:highlight w:val="white"/>
          <w:rtl w:val="0"/>
        </w:rPr>
        <w:t xml:space="preserve"> que “um dos principais esclarecimentos que o feminismo trouxe para a teoria é a necessidade de articular a posição de onde alguém fala” e que “ignorar a posição de onde alguém fala tornou-se algo ingênuo” (2002, p. 13, tradução nossa). Em </w:t>
      </w:r>
      <w:r w:rsidDel="00000000" w:rsidR="00000000" w:rsidRPr="00000000">
        <w:rPr>
          <w:i w:val="1"/>
          <w:highlight w:val="white"/>
          <w:rtl w:val="0"/>
        </w:rPr>
        <w:t xml:space="preserve">Gender in Translation </w:t>
      </w:r>
      <w:r w:rsidDel="00000000" w:rsidR="00000000" w:rsidRPr="00000000">
        <w:rPr>
          <w:highlight w:val="white"/>
          <w:rtl w:val="0"/>
        </w:rPr>
        <w:t xml:space="preserve">(1995, p. 12), Sherry Simon já argumentava a favor da destruição dos “absolutos da polaridade” para podermos avançar na nossa compreensão das relações literárias e sociais. Para Simon, junto a um “senso renovado de </w:t>
      </w:r>
      <w:r w:rsidDel="00000000" w:rsidR="00000000" w:rsidRPr="00000000">
        <w:rPr>
          <w:i w:val="1"/>
          <w:highlight w:val="white"/>
          <w:rtl w:val="0"/>
        </w:rPr>
        <w:t xml:space="preserve">agência</w:t>
      </w:r>
      <w:r w:rsidDel="00000000" w:rsidR="00000000" w:rsidRPr="00000000">
        <w:rPr>
          <w:highlight w:val="white"/>
          <w:rtl w:val="0"/>
        </w:rPr>
        <w:t xml:space="preserve"> na tradução”, o que mais importa ao pensarmos sobre uma tradução é o seu </w:t>
      </w:r>
      <w:r w:rsidDel="00000000" w:rsidR="00000000" w:rsidRPr="00000000">
        <w:rPr>
          <w:i w:val="1"/>
          <w:highlight w:val="white"/>
          <w:rtl w:val="0"/>
        </w:rPr>
        <w:t xml:space="preserve">projeto </w:t>
      </w:r>
      <w:r w:rsidDel="00000000" w:rsidR="00000000" w:rsidRPr="00000000">
        <w:rPr>
          <w:highlight w:val="white"/>
          <w:rtl w:val="0"/>
        </w:rPr>
        <w:t xml:space="preserve">(p. 27-28). O projeto é o que dá conta de explicar os parâmetros do processo de transferência e o que explica o modo de circulação do texto traduzido em seu novo ambiente.</w:t>
      </w:r>
    </w:p>
    <w:p w:rsidR="00000000" w:rsidDel="00000000" w:rsidP="00000000" w:rsidRDefault="00000000" w:rsidRPr="00000000" w14:paraId="00000007">
      <w:pPr>
        <w:rPr>
          <w:highlight w:val="white"/>
        </w:rPr>
      </w:pPr>
      <w:r w:rsidDel="00000000" w:rsidR="00000000" w:rsidRPr="00000000">
        <w:rPr>
          <w:highlight w:val="white"/>
          <w:rtl w:val="0"/>
        </w:rPr>
        <w:t xml:space="preserve">Com base nisso, nosso intuito é reunir contribuições sobre os papéis do/a tradutor/a teatral na cadeia interpretativa do mundo teatral. Como tradutores/as teatrais, visto/as como indivíduos, não como entidades abstratas, se posicionam ou como são posicionados, no âmbito de seu trabalho e/ou na encenação de uma peça traduzida? Os modos como são reconhecidos (ou não) divergem nos diferentes contextos nacionais, culturais e institucionais. As tradições europeias, por exemplo, contam com posições mais claras no sistema de produção teatral, enquanto que na América Latina, por vezes, tradutores/as não são reconhecidos/as. Em algumas situações, o texto é traduzido colaborativa e anonimamente ou, ainda, pelo/a encenador/a.</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rPr>
          <w:highlight w:val="white"/>
        </w:rPr>
      </w:pPr>
      <w:r w:rsidDel="00000000" w:rsidR="00000000" w:rsidRPr="00000000">
        <w:rPr>
          <w:highlight w:val="white"/>
          <w:rtl w:val="0"/>
        </w:rPr>
        <w:t xml:space="preserve">Nosso propósito é estimular reflexões sobre as circunstâncias sob as quais alguém traduz para o teatro. Que tipos de envolvimento o/a tradutor/a teatral tem, em seu contexto, com o grupo teatral?  Há remuneração pela tradução? Traduz-se por afinidade com o assunto, texto de partida ou dramaturgo ou dramaturga? Traduz-se para sobreviver? Como passatempo? Como forma de militância política? Para fins acadêmicos ou comerciais? Sob pressão de tempo e, quem sabe, algum tipo de censura? Com essa chamada, buscamos contribuições que reflitam sobre as condições, liberdades e restrições envolvidas na tradução teatral para além das questões há muito discutidas que se referem aos níveis micro e macrotextual do texto teatral. Com essas ponderações e questionamentos, temos em mente um contexto mais amplo de vida e de experiência da pessoa que traduz.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40" w:lineRule="auto"/>
        <w:rPr>
          <w:highlight w:val="white"/>
        </w:rPr>
      </w:pPr>
      <w:r w:rsidDel="00000000" w:rsidR="00000000" w:rsidRPr="00000000">
        <w:rPr>
          <w:b w:val="1"/>
          <w:highlight w:val="white"/>
          <w:rtl w:val="0"/>
        </w:rPr>
        <w:t xml:space="preserve">Convidamos tradutores/as teatrais, artistas e pesquisadores/as a submeterem contribuições sobre os seguintes tópicos:</w:t>
        <w:br w:type="textWrapping"/>
      </w:r>
      <w:r w:rsidDel="00000000" w:rsidR="00000000" w:rsidRPr="00000000">
        <w:rPr>
          <w:highlight w:val="white"/>
          <w:rtl w:val="0"/>
        </w:rPr>
        <w:br w:type="textWrapping"/>
        <w:t xml:space="preserve">- O lugar do/a tradutor/a no sistema teatral ou sistema literário;</w:t>
        <w:br w:type="textWrapping"/>
        <w:t xml:space="preserve">- O lugar do/a tradutor/a no sistema político, de que direitos e liberdades ele ou ela goza e quais são suas restrições;</w:t>
        <w:br w:type="textWrapping"/>
        <w:t xml:space="preserve">- As condições materiais e pragmáticas da tradução teatral (por exemplo, remuneração, prazos etc.);</w:t>
        <w:br w:type="textWrapping"/>
        <w:t xml:space="preserve">- O/a tradutor/a no olhar do outro, isto é, quando representado por outros (seja na teoria ou na prática); </w:t>
        <w:br w:type="textWrapping"/>
        <w:t xml:space="preserve">- Os modos como tradutores/as colocam-se em paratextos (incluindo-se peritextos e epitextos);</w:t>
        <w:br w:type="textWrapping"/>
        <w:t xml:space="preserve">- A relação entre as estratégias tradutórias empregadas e a percepção do/a tradutor/a no que diz respeito ao seu próprio trabalho;</w:t>
        <w:br w:type="textWrapping"/>
        <w:t xml:space="preserve">- A representação do/a tradutor/a teatral na teoria;</w:t>
        <w:br w:type="textWrapping"/>
        <w:t xml:space="preserve">- A subjetividade do/a tradutor/a, incluindo suas motivações e projetos de tradução.</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40" w:lineRule="auto"/>
        <w:rPr>
          <w:highlight w:val="white"/>
        </w:rPr>
      </w:pPr>
      <w:r w:rsidDel="00000000" w:rsidR="00000000" w:rsidRPr="00000000">
        <w:rPr>
          <w:b w:val="1"/>
          <w:highlight w:val="white"/>
          <w:rtl w:val="0"/>
        </w:rPr>
        <w:t xml:space="preserve">Prazos:</w:t>
      </w:r>
      <w:r w:rsidDel="00000000" w:rsidR="00000000" w:rsidRPr="00000000">
        <w:rPr>
          <w:highlight w:val="white"/>
          <w:rtl w:val="0"/>
        </w:rPr>
        <w:t xml:space="preserve"> </w:t>
        <w:br w:type="textWrapping"/>
        <w:t xml:space="preserve">- </w:t>
      </w:r>
      <w:r w:rsidDel="00000000" w:rsidR="00000000" w:rsidRPr="00000000">
        <w:rPr>
          <w:color w:val="ff0000"/>
          <w:highlight w:val="white"/>
          <w:rtl w:val="0"/>
        </w:rPr>
        <w:t xml:space="preserve">Envio dos artigos completos até 25 de setembro de 2022, diretamente para as organizadoras do dossier: </w:t>
      </w:r>
      <w:hyperlink r:id="rId7">
        <w:r w:rsidDel="00000000" w:rsidR="00000000" w:rsidRPr="00000000">
          <w:rPr>
            <w:color w:val="ff0000"/>
            <w:highlight w:val="white"/>
            <w:u w:val="single"/>
            <w:rtl w:val="0"/>
          </w:rPr>
          <w:t xml:space="preserve">ruth.bohunovsky@gmail.com</w:t>
        </w:r>
      </w:hyperlink>
      <w:r w:rsidDel="00000000" w:rsidR="00000000" w:rsidRPr="00000000">
        <w:rPr>
          <w:color w:val="ff0000"/>
          <w:highlight w:val="white"/>
          <w:rtl w:val="0"/>
        </w:rPr>
        <w:t xml:space="preserve"> e </w:t>
      </w:r>
      <w:hyperlink r:id="rId8">
        <w:r w:rsidDel="00000000" w:rsidR="00000000" w:rsidRPr="00000000">
          <w:rPr>
            <w:color w:val="ff0000"/>
            <w:highlight w:val="white"/>
            <w:u w:val="single"/>
            <w:rtl w:val="0"/>
          </w:rPr>
          <w:t xml:space="preserve">alinne.balduino@gmail.com</w:t>
        </w:r>
      </w:hyperlink>
      <w:r w:rsidDel="00000000" w:rsidR="00000000" w:rsidRPr="00000000">
        <w:rPr>
          <w:highlight w:val="white"/>
          <w:rtl w:val="0"/>
        </w:rPr>
        <w:br w:type="textWrapping"/>
        <w:t xml:space="preserve">- Divulgação dos pareceres até </w:t>
      </w:r>
      <w:r w:rsidDel="00000000" w:rsidR="00000000" w:rsidRPr="00000000">
        <w:rPr>
          <w:color w:val="ff0000"/>
          <w:highlight w:val="white"/>
          <w:rtl w:val="0"/>
        </w:rPr>
        <w:t xml:space="preserve">12 de novembro de 2022.</w:t>
      </w:r>
      <w:r w:rsidDel="00000000" w:rsidR="00000000" w:rsidRPr="00000000">
        <w:rPr>
          <w:highlight w:val="white"/>
          <w:rtl w:val="0"/>
        </w:rPr>
        <w:br w:type="textWrapping"/>
        <w:t xml:space="preserve">- Envio das versões finais dos artigos até 16 de dezembro de 2022.</w:t>
        <w:br w:type="textWrapping"/>
        <w:t xml:space="preserve">- Publicação do dossiê em maio de 2023.</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40" w:lineRule="auto"/>
        <w:rPr>
          <w:highlight w:val="white"/>
        </w:rPr>
      </w:pPr>
      <w:r w:rsidDel="00000000" w:rsidR="00000000" w:rsidRPr="00000000">
        <w:rPr>
          <w:b w:val="1"/>
          <w:highlight w:val="white"/>
          <w:rtl w:val="0"/>
        </w:rPr>
        <w:t xml:space="preserve">Além dos artigos e seguindo as diretrizes da revista, aceitaremos também:</w:t>
      </w:r>
      <w:r w:rsidDel="00000000" w:rsidR="00000000" w:rsidRPr="00000000">
        <w:rPr>
          <w:highlight w:val="white"/>
          <w:rtl w:val="0"/>
        </w:rPr>
        <w:br w:type="textWrapping"/>
        <w:t xml:space="preserve">- Traduções de artigos dentro da temática proposta;</w:t>
        <w:br w:type="textWrapping"/>
        <w:t xml:space="preserve">- Resenhas de livros sobre tradução teatral sobre a temática proposta;</w:t>
        <w:br w:type="textWrapping"/>
        <w:t xml:space="preserve">- Entrevistas com tradutores/as ou artistas envolvidos/as em produções de peças teatrais traduzidas. </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rPr>
          <w:highlight w:val="white"/>
        </w:rPr>
      </w:pPr>
      <w:r w:rsidDel="00000000" w:rsidR="00000000" w:rsidRPr="00000000">
        <w:rPr>
          <w:b w:val="1"/>
          <w:highlight w:val="white"/>
          <w:rtl w:val="0"/>
        </w:rPr>
        <w:t xml:space="preserve">Links importantes: </w:t>
        <w:br w:type="textWrapping"/>
      </w:r>
      <w:r w:rsidDel="00000000" w:rsidR="00000000" w:rsidRPr="00000000">
        <w:rPr>
          <w:highlight w:val="white"/>
          <w:rtl w:val="0"/>
        </w:rPr>
        <w:t xml:space="preserve">- Sobre a Revista: </w:t>
      </w:r>
      <w:r w:rsidDel="00000000" w:rsidR="00000000" w:rsidRPr="00000000">
        <w:rPr>
          <w:highlight w:val="white"/>
          <w:u w:val="single"/>
          <w:rtl w:val="0"/>
        </w:rPr>
        <w:t xml:space="preserve">https://periodicos.ufsc.br/index.php/traducao/about </w:t>
        <w:br w:type="textWrapping"/>
      </w:r>
      <w:r w:rsidDel="00000000" w:rsidR="00000000" w:rsidRPr="00000000">
        <w:rPr>
          <w:highlight w:val="white"/>
          <w:rtl w:val="0"/>
        </w:rPr>
        <w:t xml:space="preserve">- Cadastro de autores: </w:t>
      </w:r>
      <w:r w:rsidDel="00000000" w:rsidR="00000000" w:rsidRPr="00000000">
        <w:rPr>
          <w:highlight w:val="white"/>
          <w:u w:val="single"/>
          <w:rtl w:val="0"/>
        </w:rPr>
        <w:t xml:space="preserve">https://periodicos.ufsc.br/index.php/traducao/user/register </w:t>
        <w:br w:type="textWrapping"/>
      </w:r>
      <w:r w:rsidDel="00000000" w:rsidR="00000000" w:rsidRPr="00000000">
        <w:rPr>
          <w:highlight w:val="white"/>
          <w:rtl w:val="0"/>
        </w:rPr>
        <w:t xml:space="preserve">- Diretrizes para autores: </w:t>
      </w:r>
      <w:r w:rsidDel="00000000" w:rsidR="00000000" w:rsidRPr="00000000">
        <w:rPr>
          <w:highlight w:val="white"/>
          <w:u w:val="single"/>
          <w:rtl w:val="0"/>
        </w:rPr>
        <w:t xml:space="preserve">https://periodicos.ufsc.br/index.php/traducao/about/submissions </w:t>
      </w:r>
      <w:r w:rsidDel="00000000" w:rsidR="00000000" w:rsidRPr="00000000">
        <w:rPr>
          <w:rtl w:val="0"/>
        </w:rPr>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after="0" w:line="360" w:lineRule="auto"/>
        <w:jc w:val="both"/>
        <w:rPr>
          <w:highlight w:val="white"/>
        </w:rPr>
      </w:pPr>
      <w:r w:rsidDel="00000000" w:rsidR="00000000" w:rsidRPr="00000000">
        <w:rPr>
          <w:rtl w:val="0"/>
        </w:rPr>
      </w:r>
    </w:p>
    <w:p w:rsidR="00000000" w:rsidDel="00000000" w:rsidP="00000000" w:rsidRDefault="00000000" w:rsidRPr="00000000" w14:paraId="0000000E">
      <w:pPr>
        <w:rPr>
          <w:b w:val="1"/>
          <w:highlight w:val="white"/>
        </w:rPr>
      </w:pPr>
      <w:r w:rsidDel="00000000" w:rsidR="00000000" w:rsidRPr="00000000">
        <w:rPr>
          <w:b w:val="1"/>
          <w:highlight w:val="white"/>
          <w:rtl w:val="0"/>
        </w:rPr>
        <w:t xml:space="preserve">Aceitamos artigos em português, espanhol, inglês, francês e alemão.</w:t>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spacing w:after="0" w:line="360" w:lineRule="auto"/>
        <w:jc w:val="both"/>
        <w:rPr>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10">
      <w:pPr>
        <w:rPr>
          <w:b w:val="1"/>
          <w:i w:val="1"/>
          <w:sz w:val="28"/>
          <w:szCs w:val="28"/>
        </w:rPr>
      </w:pPr>
      <w:r w:rsidDel="00000000" w:rsidR="00000000" w:rsidRPr="00000000">
        <w:rPr>
          <w:b w:val="1"/>
          <w:sz w:val="28"/>
          <w:szCs w:val="28"/>
          <w:rtl w:val="0"/>
        </w:rPr>
        <w:t xml:space="preserve">Call for Papers - Themed Issue</w:t>
      </w:r>
      <w:r w:rsidDel="00000000" w:rsidR="00000000" w:rsidRPr="00000000">
        <w:rPr>
          <w:b w:val="1"/>
          <w:i w:val="1"/>
          <w:sz w:val="28"/>
          <w:szCs w:val="28"/>
          <w:rtl w:val="0"/>
        </w:rPr>
        <w:t xml:space="preserve"> of Cadernos de Tradução</w:t>
      </w:r>
    </w:p>
    <w:p w:rsidR="00000000" w:rsidDel="00000000" w:rsidP="00000000" w:rsidRDefault="00000000" w:rsidRPr="00000000" w14:paraId="00000011">
      <w:pPr>
        <w:rPr>
          <w:b w:val="1"/>
          <w:color w:val="ff0000"/>
          <w:sz w:val="28"/>
          <w:szCs w:val="28"/>
        </w:rPr>
      </w:pPr>
      <w:r w:rsidDel="00000000" w:rsidR="00000000" w:rsidRPr="00000000">
        <w:rPr>
          <w:b w:val="1"/>
          <w:color w:val="ff0000"/>
          <w:sz w:val="28"/>
          <w:szCs w:val="28"/>
          <w:rtl w:val="0"/>
        </w:rPr>
        <w:t xml:space="preserve">DEADLINE EXTENDED UNTIL THE 25TH OF SEPTEMBER 2022</w:t>
      </w:r>
    </w:p>
    <w:p w:rsidR="00000000" w:rsidDel="00000000" w:rsidP="00000000" w:rsidRDefault="00000000" w:rsidRPr="00000000" w14:paraId="00000012">
      <w:pPr>
        <w:rPr>
          <w:b w:val="1"/>
          <w:sz w:val="28"/>
          <w:szCs w:val="28"/>
          <w:u w:val="single"/>
        </w:rPr>
      </w:pPr>
      <w:r w:rsidDel="00000000" w:rsidR="00000000" w:rsidRPr="00000000">
        <w:rPr>
          <w:b w:val="1"/>
          <w:sz w:val="28"/>
          <w:szCs w:val="28"/>
          <w:u w:val="single"/>
          <w:rtl w:val="0"/>
        </w:rPr>
        <w:t xml:space="preserve">Theatre Translators as Creative, Political, and Artistic Actors</w:t>
      </w:r>
    </w:p>
    <w:p w:rsidR="00000000" w:rsidDel="00000000" w:rsidP="00000000" w:rsidRDefault="00000000" w:rsidRPr="00000000" w14:paraId="00000013">
      <w:pPr>
        <w:rPr>
          <w:b w:val="1"/>
        </w:rPr>
      </w:pPr>
      <w:r w:rsidDel="00000000" w:rsidR="00000000" w:rsidRPr="00000000">
        <w:rPr>
          <w:b w:val="1"/>
          <w:rtl w:val="0"/>
        </w:rPr>
        <w:t xml:space="preserve">Key words: theatre translator, subjectivity, agency, material conditions</w:t>
      </w:r>
    </w:p>
    <w:p w:rsidR="00000000" w:rsidDel="00000000" w:rsidP="00000000" w:rsidRDefault="00000000" w:rsidRPr="00000000" w14:paraId="00000014">
      <w:pPr>
        <w:rPr>
          <w:b w:val="1"/>
        </w:rPr>
      </w:pPr>
      <w:r w:rsidDel="00000000" w:rsidR="00000000" w:rsidRPr="00000000">
        <w:rPr>
          <w:b w:val="1"/>
          <w:rtl w:val="0"/>
        </w:rPr>
        <w:t xml:space="preserve">Guest Editors:</w:t>
        <w:br w:type="textWrapping"/>
        <w:t xml:space="preserve">Dr. Alinne Balduino P. Fernandes, Federal University of Santa Catarina, Brazil</w:t>
        <w:br w:type="textWrapping"/>
        <w:t xml:space="preserve">Dr. Ruth Bohunovsky, Federal University of Paraná, Brazil</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Translating is never a neutral activity. As Rosemary Arrojo once highlighted in her </w:t>
      </w:r>
      <w:r w:rsidDel="00000000" w:rsidR="00000000" w:rsidRPr="00000000">
        <w:rPr>
          <w:i w:val="1"/>
          <w:rtl w:val="0"/>
        </w:rPr>
        <w:t xml:space="preserve">Oficina de Tradução</w:t>
      </w:r>
      <w:r w:rsidDel="00000000" w:rsidR="00000000" w:rsidRPr="00000000">
        <w:rPr>
          <w:rtl w:val="0"/>
        </w:rPr>
        <w:t xml:space="preserve"> (1986, p. 44) [</w:t>
      </w:r>
      <w:r w:rsidDel="00000000" w:rsidR="00000000" w:rsidRPr="00000000">
        <w:rPr>
          <w:i w:val="1"/>
          <w:rtl w:val="0"/>
        </w:rPr>
        <w:t xml:space="preserve">Translation Workshop</w:t>
      </w:r>
      <w:r w:rsidDel="00000000" w:rsidR="00000000" w:rsidRPr="00000000">
        <w:rPr>
          <w:rtl w:val="0"/>
        </w:rPr>
        <w:t xml:space="preserve">], the ‘translation of any given text, poetic or not, will not be faithful to the “original” but to that which we believe </w:t>
      </w:r>
      <w:r w:rsidDel="00000000" w:rsidR="00000000" w:rsidRPr="00000000">
        <w:rPr>
          <w:i w:val="1"/>
          <w:rtl w:val="0"/>
        </w:rPr>
        <w:t xml:space="preserve">to be</w:t>
      </w:r>
      <w:r w:rsidDel="00000000" w:rsidR="00000000" w:rsidRPr="00000000">
        <w:rPr>
          <w:rtl w:val="0"/>
        </w:rPr>
        <w:t xml:space="preserve"> the original text, that which we believe constitutes it, that is, our own interpretation of the source text, which will [...] always result from what we are, feel and think.’ In other words, translated texts are ‘faithful’ to the translator’s reading of the source text, which, in turn, is always influenced by their own context. Feminist, queer, and post-colonial theories are, perhaps, the theoretical perspectives that have most strongly brought this notion to light. In this vein, in </w:t>
      </w:r>
      <w:r w:rsidDel="00000000" w:rsidR="00000000" w:rsidRPr="00000000">
        <w:rPr>
          <w:i w:val="1"/>
          <w:rtl w:val="0"/>
        </w:rPr>
        <w:t xml:space="preserve">Theory/Theatre</w:t>
      </w:r>
      <w:r w:rsidDel="00000000" w:rsidR="00000000" w:rsidRPr="00000000">
        <w:rPr>
          <w:rtl w:val="0"/>
        </w:rPr>
        <w:t xml:space="preserve">, Mark Fortier writes that ‘[one] of the foremost insights that feminism, especially, has brought to theory is the need to articulate the position from which one speaks’, and that ‘it has become imprudent and naive to ignore the position from which one speaks’ (2002, p. 13). Back in 1995, in </w:t>
      </w:r>
      <w:r w:rsidDel="00000000" w:rsidR="00000000" w:rsidRPr="00000000">
        <w:rPr>
          <w:i w:val="1"/>
          <w:rtl w:val="0"/>
        </w:rPr>
        <w:t xml:space="preserve">Gender in Translation</w:t>
      </w:r>
      <w:r w:rsidDel="00000000" w:rsidR="00000000" w:rsidRPr="00000000">
        <w:rPr>
          <w:rtl w:val="0"/>
        </w:rPr>
        <w:t xml:space="preserve">, Sherry Simon argued for the destruction of ‘absolutes of polarity’ for us to ‘advance in our understanding of social and literary relations’ (p. 12). For Simon, coupled with ‘a renewed sense of </w:t>
      </w:r>
      <w:r w:rsidDel="00000000" w:rsidR="00000000" w:rsidRPr="00000000">
        <w:rPr>
          <w:i w:val="1"/>
          <w:rtl w:val="0"/>
        </w:rPr>
        <w:t xml:space="preserve">agency </w:t>
      </w:r>
      <w:r w:rsidDel="00000000" w:rsidR="00000000" w:rsidRPr="00000000">
        <w:rPr>
          <w:rtl w:val="0"/>
        </w:rPr>
        <w:t xml:space="preserve">in translation’ brought forth by feminist theory, what matters the most when thinking of a translation is its project. It is by means of the project that one may define ‘the parameters of the transfer process, and [explain] the mode of circulation of the translated text and its new environment.’ (p. 28)</w:t>
      </w:r>
    </w:p>
    <w:p w:rsidR="00000000" w:rsidDel="00000000" w:rsidP="00000000" w:rsidRDefault="00000000" w:rsidRPr="00000000" w14:paraId="00000017">
      <w:pPr>
        <w:rPr/>
      </w:pPr>
      <w:r w:rsidDel="00000000" w:rsidR="00000000" w:rsidRPr="00000000">
        <w:rPr>
          <w:rtl w:val="0"/>
        </w:rPr>
        <w:t xml:space="preserve">Bearing these ideas in mind, the objective of this themed issue is to reflect upon the theatre translator’s role within the interpretative chain of theatre-making. We invite contributions that will respond to or question how theatre translators, regarded as subjects, not abstract entities, position themselves or are positioned in relation to their translation and/or staging of a translated play. How do theatre translators articulate their senses of agency from political, creative and artistic standpoints? The ways in which theatre translators are acknowledged (or not) vary across different national, cultural, and institutional contexts. To illustrate this, European traditions generally assign clearer positions for theatre translators in the overall theatre production system, whereas in Latin America theatre translators are rarely acknowledged. In some situations, the playtext is translated collaboratively or even anonymously, or, at times, by the stage director him/herself.</w:t>
      </w:r>
    </w:p>
    <w:p w:rsidR="00000000" w:rsidDel="00000000" w:rsidP="00000000" w:rsidRDefault="00000000" w:rsidRPr="00000000" w14:paraId="00000018">
      <w:pPr>
        <w:rPr/>
      </w:pPr>
      <w:r w:rsidDel="00000000" w:rsidR="00000000" w:rsidRPr="00000000">
        <w:rPr>
          <w:rtl w:val="0"/>
        </w:rPr>
        <w:t xml:space="preserve">We would like to stimulate reflections about the circumstances under which one translates for the stage. How is the theatre translator involved with the theatre group in his/her particular context? Is s/he paid for the translation? Does s/he translate a particular playtext out of affinity for the subject or playwright? As a hobby? As a form of political activism? For commercial or academic reasons? Under pressure of time and, perhaps, some sort of censorship? Contributions should reflect on the contingencies that are part and parcel of theatre translation, and that go beyond the much debated notions revolving around the playtext’s micro and macrotextual levels. With these concerns in mind, we would like to look at theatre translators’ experiences and subjectivities at play.</w:t>
      </w:r>
    </w:p>
    <w:p w:rsidR="00000000" w:rsidDel="00000000" w:rsidP="00000000" w:rsidRDefault="00000000" w:rsidRPr="00000000" w14:paraId="00000019">
      <w:pPr>
        <w:rPr>
          <w:b w:val="1"/>
        </w:rPr>
      </w:pPr>
      <w:r w:rsidDel="00000000" w:rsidR="00000000" w:rsidRPr="00000000">
        <w:rPr>
          <w:b w:val="1"/>
          <w:rtl w:val="0"/>
        </w:rPr>
        <w:t xml:space="preserve">Hence, we invite theatre translators, artists, and researchers to address the following sample topics:</w:t>
      </w:r>
    </w:p>
    <w:p w:rsidR="00000000" w:rsidDel="00000000" w:rsidP="00000000" w:rsidRDefault="00000000" w:rsidRPr="00000000" w14:paraId="0000001A">
      <w:pPr>
        <w:rPr/>
      </w:pPr>
      <w:r w:rsidDel="00000000" w:rsidR="00000000" w:rsidRPr="00000000">
        <w:rPr>
          <w:rtl w:val="0"/>
        </w:rPr>
        <w:t xml:space="preserve">- The theatre translator’s position within the receiving theatrical, literary or political system;</w:t>
        <w:br w:type="textWrapping"/>
        <w:t xml:space="preserve">- The pragmatic and material conditions under which theatre translation takes place (e.g. deadlines, wages, etc);</w:t>
        <w:br w:type="textWrapping"/>
        <w:t xml:space="preserve">- The ways theatre translators are represented (or not) in translation theory;</w:t>
        <w:br w:type="textWrapping"/>
        <w:t xml:space="preserve">- The ways theatre translators position themselves in paratexts (both peritexts and epitexts);</w:t>
        <w:br w:type="textWrapping"/>
        <w:t xml:space="preserve">- The relationship between the translation strategies employed in the translation and the theatre translator’s perception of his/her own work;</w:t>
        <w:br w:type="textWrapping"/>
        <w:t xml:space="preserve">- Theatre translators’ subjectivities, including both their driving forces and translation project.</w:t>
      </w:r>
    </w:p>
    <w:p w:rsidR="00000000" w:rsidDel="00000000" w:rsidP="00000000" w:rsidRDefault="00000000" w:rsidRPr="00000000" w14:paraId="0000001B">
      <w:pPr>
        <w:rPr/>
      </w:pPr>
      <w:r w:rsidDel="00000000" w:rsidR="00000000" w:rsidRPr="00000000">
        <w:rPr>
          <w:rtl w:val="0"/>
        </w:rPr>
        <w:br w:type="textWrapping"/>
      </w:r>
      <w:r w:rsidDel="00000000" w:rsidR="00000000" w:rsidRPr="00000000">
        <w:rPr>
          <w:color w:val="ff0000"/>
          <w:highlight w:val="white"/>
          <w:rtl w:val="0"/>
        </w:rPr>
        <w:t xml:space="preserve">Submission of full articles by the 25th of September 2022. Articles should be submitted directly to the co-editors of this themed edition: </w:t>
      </w:r>
      <w:hyperlink r:id="rId9">
        <w:r w:rsidDel="00000000" w:rsidR="00000000" w:rsidRPr="00000000">
          <w:rPr>
            <w:color w:val="ff0000"/>
            <w:highlight w:val="white"/>
            <w:u w:val="single"/>
            <w:rtl w:val="0"/>
          </w:rPr>
          <w:t xml:space="preserve">ruth.bohunovsky@gmail.com</w:t>
        </w:r>
      </w:hyperlink>
      <w:r w:rsidDel="00000000" w:rsidR="00000000" w:rsidRPr="00000000">
        <w:rPr>
          <w:color w:val="ff0000"/>
          <w:highlight w:val="white"/>
          <w:rtl w:val="0"/>
        </w:rPr>
        <w:t xml:space="preserve"> and </w:t>
      </w:r>
      <w:hyperlink r:id="rId10">
        <w:r w:rsidDel="00000000" w:rsidR="00000000" w:rsidRPr="00000000">
          <w:rPr>
            <w:color w:val="ff0000"/>
            <w:highlight w:val="white"/>
            <w:u w:val="single"/>
            <w:rtl w:val="0"/>
          </w:rPr>
          <w:t xml:space="preserve">alinne.balduino@gmail.com</w:t>
        </w:r>
      </w:hyperlink>
      <w:r w:rsidDel="00000000" w:rsidR="00000000" w:rsidRPr="00000000">
        <w:rPr>
          <w:rtl w:val="0"/>
        </w:rPr>
      </w:r>
    </w:p>
    <w:p w:rsidR="00000000" w:rsidDel="00000000" w:rsidP="00000000" w:rsidRDefault="00000000" w:rsidRPr="00000000" w14:paraId="0000001C">
      <w:pPr>
        <w:spacing w:line="240" w:lineRule="auto"/>
        <w:rPr/>
      </w:pPr>
      <w:r w:rsidDel="00000000" w:rsidR="00000000" w:rsidRPr="00000000">
        <w:rPr>
          <w:rtl w:val="0"/>
        </w:rPr>
        <w:t xml:space="preserve">Contributors will receive reports by: </w:t>
      </w:r>
      <w:r w:rsidDel="00000000" w:rsidR="00000000" w:rsidRPr="00000000">
        <w:rPr>
          <w:color w:val="ff0000"/>
          <w:highlight w:val="white"/>
          <w:rtl w:val="0"/>
        </w:rPr>
        <w:t xml:space="preserve">12 November 2022</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Deadline for submissions of revised versions: 16 December 2022</w:t>
      </w:r>
    </w:p>
    <w:p w:rsidR="00000000" w:rsidDel="00000000" w:rsidP="00000000" w:rsidRDefault="00000000" w:rsidRPr="00000000" w14:paraId="0000001E">
      <w:pPr>
        <w:rPr/>
      </w:pPr>
      <w:r w:rsidDel="00000000" w:rsidR="00000000" w:rsidRPr="00000000">
        <w:rPr>
          <w:rtl w:val="0"/>
        </w:rPr>
        <w:t xml:space="preserve">Themed issue to be published in May 2023</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We gladly invite the following forms of submissions:</w:t>
      </w:r>
    </w:p>
    <w:p w:rsidR="00000000" w:rsidDel="00000000" w:rsidP="00000000" w:rsidRDefault="00000000" w:rsidRPr="00000000" w14:paraId="00000021">
      <w:pPr>
        <w:rPr/>
      </w:pPr>
      <w:r w:rsidDel="00000000" w:rsidR="00000000" w:rsidRPr="00000000">
        <w:rPr>
          <w:rtl w:val="0"/>
        </w:rPr>
        <w:t xml:space="preserve">- Research articles of 5,000 words (the word count does NOT include references)</w:t>
      </w:r>
    </w:p>
    <w:p w:rsidR="00000000" w:rsidDel="00000000" w:rsidP="00000000" w:rsidRDefault="00000000" w:rsidRPr="00000000" w14:paraId="00000022">
      <w:pPr>
        <w:rPr/>
      </w:pPr>
      <w:r w:rsidDel="00000000" w:rsidR="00000000" w:rsidRPr="00000000">
        <w:rPr>
          <w:rtl w:val="0"/>
        </w:rPr>
        <w:t xml:space="preserve">- Translations of research articles</w:t>
      </w:r>
    </w:p>
    <w:p w:rsidR="00000000" w:rsidDel="00000000" w:rsidP="00000000" w:rsidRDefault="00000000" w:rsidRPr="00000000" w14:paraId="00000023">
      <w:pPr>
        <w:rPr/>
      </w:pPr>
      <w:r w:rsidDel="00000000" w:rsidR="00000000" w:rsidRPr="00000000">
        <w:rPr>
          <w:rtl w:val="0"/>
        </w:rPr>
        <w:t xml:space="preserve">- Book reviews of between 2,000 and 4,000 words (the word count does NOT include references)</w:t>
      </w:r>
    </w:p>
    <w:p w:rsidR="00000000" w:rsidDel="00000000" w:rsidP="00000000" w:rsidRDefault="00000000" w:rsidRPr="00000000" w14:paraId="00000024">
      <w:pPr>
        <w:rPr/>
      </w:pPr>
      <w:r w:rsidDel="00000000" w:rsidR="00000000" w:rsidRPr="00000000">
        <w:rPr>
          <w:rtl w:val="0"/>
        </w:rPr>
        <w:t xml:space="preserve">- Interviews with theatre translators/artists/researchers also welcome</w:t>
      </w:r>
    </w:p>
    <w:p w:rsidR="00000000" w:rsidDel="00000000" w:rsidP="00000000" w:rsidRDefault="00000000" w:rsidRPr="00000000" w14:paraId="00000025">
      <w:pPr>
        <w:rPr>
          <w:color w:val="1155cc"/>
          <w:u w:val="single"/>
        </w:rPr>
      </w:pPr>
      <w:r w:rsidDel="00000000" w:rsidR="00000000" w:rsidRPr="00000000">
        <w:rPr>
          <w:b w:val="1"/>
          <w:rtl w:val="0"/>
        </w:rPr>
        <w:t xml:space="preserve">Important links: </w:t>
      </w:r>
      <w:r w:rsidDel="00000000" w:rsidR="00000000" w:rsidRPr="00000000">
        <w:rPr>
          <w:rtl w:val="0"/>
        </w:rPr>
        <w:br w:type="textWrapping"/>
        <w:t xml:space="preserve">About the journal: </w:t>
      </w:r>
      <w:hyperlink r:id="rId11">
        <w:r w:rsidDel="00000000" w:rsidR="00000000" w:rsidRPr="00000000">
          <w:rPr>
            <w:color w:val="1155cc"/>
            <w:u w:val="single"/>
            <w:rtl w:val="0"/>
          </w:rPr>
          <w:t xml:space="preserve">https://periodicos.ufsc.br/index.php/traducao/about</w:t>
        </w:r>
      </w:hyperlink>
      <w:r w:rsidDel="00000000" w:rsidR="00000000" w:rsidRPr="00000000">
        <w:rPr>
          <w:u w:val="single"/>
          <w:rtl w:val="0"/>
        </w:rPr>
        <w:br w:type="textWrapping"/>
      </w:r>
      <w:r w:rsidDel="00000000" w:rsidR="00000000" w:rsidRPr="00000000">
        <w:rPr>
          <w:rtl w:val="0"/>
        </w:rPr>
        <w:t xml:space="preserve">Author guidelines: </w:t>
      </w:r>
      <w:hyperlink r:id="rId12">
        <w:r w:rsidDel="00000000" w:rsidR="00000000" w:rsidRPr="00000000">
          <w:rPr>
            <w:color w:val="1155cc"/>
            <w:u w:val="single"/>
            <w:rtl w:val="0"/>
          </w:rPr>
          <w:t xml:space="preserve">https://periodicos.ufsc.br/index.php/traducao/about/submissions</w:t>
        </w:r>
      </w:hyperlink>
      <w:r w:rsidDel="00000000" w:rsidR="00000000" w:rsidRPr="00000000">
        <w:rPr>
          <w:rtl w:val="0"/>
        </w:rPr>
      </w:r>
    </w:p>
    <w:p w:rsidR="00000000" w:rsidDel="00000000" w:rsidP="00000000" w:rsidRDefault="00000000" w:rsidRPr="00000000" w14:paraId="00000026">
      <w:pPr>
        <w:rPr>
          <w:u w:val="single"/>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Please send any enquiries to the editors: </w:t>
      </w:r>
      <w:hyperlink r:id="rId13">
        <w:r w:rsidDel="00000000" w:rsidR="00000000" w:rsidRPr="00000000">
          <w:rPr>
            <w:u w:val="single"/>
            <w:rtl w:val="0"/>
          </w:rPr>
          <w:t xml:space="preserve">alinne.fernandes@ufsc.br</w:t>
        </w:r>
      </w:hyperlink>
      <w:r w:rsidDel="00000000" w:rsidR="00000000" w:rsidRPr="00000000">
        <w:rPr>
          <w:rtl w:val="0"/>
        </w:rPr>
        <w:t xml:space="preserve"> &amp; </w:t>
      </w:r>
      <w:hyperlink r:id="rId14">
        <w:r w:rsidDel="00000000" w:rsidR="00000000" w:rsidRPr="00000000">
          <w:rPr>
            <w:u w:val="single"/>
            <w:rtl w:val="0"/>
          </w:rPr>
          <w:t xml:space="preserve">ruth.bohunovsky@gmail.com</w:t>
        </w:r>
      </w:hyperlink>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We accept submissions in Portuguese, Spanish, English, French, and German.</w:t>
      </w:r>
    </w:p>
    <w:p w:rsidR="00000000" w:rsidDel="00000000" w:rsidP="00000000" w:rsidRDefault="00000000" w:rsidRPr="00000000" w14:paraId="00000029">
      <w:pPr>
        <w:rPr>
          <w:u w:val="single"/>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after="0" w:line="360" w:lineRule="auto"/>
        <w:jc w:val="both"/>
        <w:rPr>
          <w:highlight w:val="white"/>
        </w:rPr>
      </w:pPr>
      <w:r w:rsidDel="00000000" w:rsidR="00000000" w:rsidRPr="00000000">
        <w:rPr>
          <w:rtl w:val="0"/>
        </w:rPr>
      </w:r>
    </w:p>
    <w:sectPr>
      <w:headerReference r:id="rId15" w:type="default"/>
      <w:footerReference r:id="rId16" w:type="default"/>
      <w:pgSz w:h="16840" w:w="11900"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right" w:pos="9020"/>
      </w:tabs>
      <w:spacing w:after="0" w:line="240" w:lineRule="auto"/>
      <w:rPr>
        <w:rFonts w:ascii="Helvetica Neue" w:cs="Helvetica Neue" w:eastAsia="Helvetica Neue" w:hAnsi="Helvetica Neue"/>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right" w:pos="9020"/>
      </w:tabs>
      <w:spacing w:after="0" w:line="240" w:lineRule="auto"/>
      <w:rPr>
        <w:rFonts w:ascii="Helvetica Neue" w:cs="Helvetica Neue" w:eastAsia="Helvetica Neue" w:hAnsi="Helvetica Neue"/>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P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pPr>
      <w:spacing w:after="160" w:line="259" w:lineRule="auto"/>
    </w:pPr>
    <w:rPr>
      <w:rFonts w:ascii="Calibri" w:cs="Arial Unicode MS" w:eastAsia="Arial Unicode MS" w:hAnsi="Calibri"/>
      <w:color w:val="000000"/>
      <w:sz w:val="22"/>
      <w:szCs w:val="22"/>
      <w:u w:color="000000"/>
      <w:lang w:val="pt-PT"/>
    </w:rPr>
  </w:style>
  <w:style w:type="paragraph" w:styleId="berschrift1">
    <w:name w:val="heading 1"/>
    <w:basedOn w:val="Standard"/>
    <w:next w:val="Standard"/>
    <w:uiPriority w:val="9"/>
    <w:qFormat w:val="1"/>
    <w:pPr>
      <w:keepNext w:val="1"/>
      <w:keepLines w:val="1"/>
      <w:spacing w:after="120" w:before="480"/>
      <w:outlineLvl w:val="0"/>
    </w:pPr>
    <w:rPr>
      <w:b w:val="1"/>
      <w:sz w:val="48"/>
      <w:szCs w:val="48"/>
    </w:rPr>
  </w:style>
  <w:style w:type="paragraph" w:styleId="berschrift2">
    <w:name w:val="heading 2"/>
    <w:basedOn w:val="Standard"/>
    <w:next w:val="Standard"/>
    <w:uiPriority w:val="9"/>
    <w:semiHidden w:val="1"/>
    <w:unhideWhenUsed w:val="1"/>
    <w:qFormat w:val="1"/>
    <w:pPr>
      <w:keepNext w:val="1"/>
      <w:keepLines w:val="1"/>
      <w:spacing w:after="80" w:before="360"/>
      <w:outlineLvl w:val="1"/>
    </w:pPr>
    <w:rPr>
      <w:b w:val="1"/>
      <w:sz w:val="36"/>
      <w:szCs w:val="36"/>
    </w:rPr>
  </w:style>
  <w:style w:type="paragraph" w:styleId="berschrift3">
    <w:name w:val="heading 3"/>
    <w:basedOn w:val="Standard"/>
    <w:next w:val="Standard"/>
    <w:uiPriority w:val="9"/>
    <w:semiHidden w:val="1"/>
    <w:unhideWhenUsed w:val="1"/>
    <w:qFormat w:val="1"/>
    <w:pPr>
      <w:keepNext w:val="1"/>
      <w:keepLines w:val="1"/>
      <w:spacing w:after="80" w:before="280"/>
      <w:outlineLvl w:val="2"/>
    </w:pPr>
    <w:rPr>
      <w:b w:val="1"/>
      <w:sz w:val="28"/>
      <w:szCs w:val="28"/>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sz w:val="24"/>
      <w:szCs w:val="24"/>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character" w:styleId="Hyperlink">
    <w:name w:val="Hyperlink"/>
    <w:rPr>
      <w:u w:val="single"/>
    </w:rPr>
  </w:style>
  <w:style w:type="table" w:styleId="TableNormal1" w:customStyle="1">
    <w:name w:val="Table Normal"/>
    <w:tblPr>
      <w:tblInd w:w="0.0" w:type="dxa"/>
      <w:tblCellMar>
        <w:top w:w="0.0" w:type="dxa"/>
        <w:left w:w="0.0" w:type="dxa"/>
        <w:bottom w:w="0.0" w:type="dxa"/>
        <w:right w:w="0.0" w:type="dxa"/>
      </w:tblCellMar>
    </w:tblPr>
  </w:style>
  <w:style w:type="paragraph" w:styleId="HeaderFooter" w:customStyle="1">
    <w:name w:val="Header &amp; Footer"/>
    <w:pPr>
      <w:tabs>
        <w:tab w:val="right" w:pos="9020"/>
      </w:tabs>
    </w:pPr>
    <w:rPr>
      <w:rFonts w:ascii="Helvetica Neue" w:cs="Arial Unicode MS" w:eastAsia="Arial Unicode MS" w:hAnsi="Helvetica Neue"/>
      <w:color w:val="000000"/>
      <w14:textOutline w14:cap="flat" w14:cmpd="sng" w14:algn="ctr">
        <w14:noFill/>
        <w14:prstDash w14:val="solid"/>
        <w14:bevel/>
      </w14:textOutline>
    </w:rPr>
  </w:style>
  <w:style w:type="paragraph" w:styleId="Default" w:customStyle="1">
    <w:name w:val="Default"/>
    <w:pPr>
      <w:spacing w:before="160" w:line="288" w:lineRule="auto"/>
    </w:pPr>
    <w:rPr>
      <w:rFonts w:ascii="Helvetica Neue" w:cs="Helvetica Neue" w:eastAsia="Helvetica Neue" w:hAnsi="Helvetica Neue"/>
      <w:color w:val="000000"/>
      <w14:textOutline w14:cap="flat" w14:cmpd="sng" w14:algn="ctr">
        <w14:noFill/>
        <w14:prstDash w14:val="solid"/>
        <w14:bevel/>
      </w14:textOutline>
    </w:rPr>
  </w:style>
  <w:style w:type="numbering" w:styleId="Bullets" w:customStyle="1">
    <w:name w:val="Bullets"/>
  </w:style>
  <w:style w:type="character" w:styleId="None" w:customStyle="1">
    <w:name w:val="None"/>
  </w:style>
  <w:style w:type="character" w:styleId="Hyperlink0" w:customStyle="1">
    <w:name w:val="Hyperlink.0"/>
    <w:basedOn w:val="None"/>
    <w:rPr>
      <w:outline w:val="0"/>
      <w:color w:val="1155cc"/>
      <w:u w:color="1155cc" w:val="single"/>
    </w:rPr>
  </w:style>
  <w:style w:type="numbering" w:styleId="ImportedStyle1" w:customStyle="1">
    <w:name w:val="Imported Style 1"/>
  </w:style>
  <w:style w:type="paragraph" w:styleId="TFBAnormal" w:customStyle="1">
    <w:name w:val="TFBA normal"/>
    <w:pPr>
      <w:widowControl w:val="0"/>
      <w:spacing w:line="360" w:lineRule="auto"/>
      <w:jc w:val="both"/>
    </w:pPr>
    <w:rPr>
      <w:rFonts w:cs="Arial Unicode MS" w:eastAsia="Arial Unicode MS"/>
      <w:color w:val="000000"/>
      <w:u w:color="000000"/>
    </w:r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character" w:styleId="NichtaufgelsteErwhnung">
    <w:name w:val="Unresolved Mention"/>
    <w:basedOn w:val="Absatz-Standardschriftart"/>
    <w:uiPriority w:val="99"/>
    <w:semiHidden w:val="1"/>
    <w:unhideWhenUsed w:val="1"/>
    <w:rsid w:val="008068B7"/>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periodicos.ufsc.br/index.php/traducao/about" TargetMode="External"/><Relationship Id="rId10" Type="http://schemas.openxmlformats.org/officeDocument/2006/relationships/hyperlink" Target="mailto:alinne.balduino@gmail.com" TargetMode="External"/><Relationship Id="rId13" Type="http://schemas.openxmlformats.org/officeDocument/2006/relationships/hyperlink" Target="mailto:alinne.fernandes@ufsc.br" TargetMode="External"/><Relationship Id="rId12" Type="http://schemas.openxmlformats.org/officeDocument/2006/relationships/hyperlink" Target="https://periodicos.ufsc.br/index.php/traducao/about/submission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uth.bohunovsky@gmail.com" TargetMode="External"/><Relationship Id="rId15" Type="http://schemas.openxmlformats.org/officeDocument/2006/relationships/header" Target="header1.xml"/><Relationship Id="rId14" Type="http://schemas.openxmlformats.org/officeDocument/2006/relationships/hyperlink" Target="mailto:ruth.bohunovsky@gmail.com"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ruth.bohunovsky@gmail.com" TargetMode="External"/><Relationship Id="rId8" Type="http://schemas.openxmlformats.org/officeDocument/2006/relationships/hyperlink" Target="mailto:alinne.balduino@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Neue"/>
        <a:ea typeface="Helvetica Neue"/>
        <a:cs typeface="Helvetica Neue"/>
      </a:majorFont>
      <a:minorFont>
        <a:latin typeface="Helvetica Neue"/>
        <a:ea typeface="Helvetica Neue"/>
        <a:cs typeface="Helvetica Neue"/>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Tae9OXMmj1sUUaJZjGOcbflhng==">AMUW2mXas27X+RRYNleXdyl5d9mJA0SPN+sMJhc7jj8A+iKmNHr3suNRjwAddVhw19hWK1NtUL7+O2f8n42NpD4CuCpIqTVCwC07P9lkauIAx2zAXYlA3ak=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2022-09-05T20:38:00Z</dcterms:created>
  <dc:creator>ruth bohunovsky</dc:creator>
</cp:coreProperties>
</file>